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07" w:rsidRPr="00F17800" w:rsidRDefault="00865D07" w:rsidP="00865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865D07" w:rsidRPr="00F17800" w:rsidRDefault="00865D07" w:rsidP="00865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865D07" w:rsidRPr="00F17800" w:rsidRDefault="00865D07" w:rsidP="00865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865D07" w:rsidRPr="00F17800" w:rsidRDefault="00865D07" w:rsidP="00865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865D07" w:rsidRPr="00F17800" w:rsidRDefault="00865D07" w:rsidP="00865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865D07" w:rsidRPr="00F17800" w:rsidRDefault="00865D07" w:rsidP="00865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B9217C" w:rsidRPr="00681C1C" w:rsidRDefault="00B9217C" w:rsidP="00B9217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</w:t>
      </w:r>
      <w:proofErr w:type="gramEnd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тверждаю</w:t>
      </w:r>
    </w:p>
    <w:p w:rsidR="00B9217C" w:rsidRPr="00681C1C" w:rsidRDefault="00B9217C" w:rsidP="00B9217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B9217C" w:rsidRPr="00681C1C" w:rsidRDefault="00B9217C" w:rsidP="00B9217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B9217C" w:rsidRPr="00681C1C" w:rsidRDefault="00B9217C" w:rsidP="00B9217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B9217C" w:rsidRPr="00681C1C" w:rsidRDefault="00B9217C" w:rsidP="00B9217C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1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865D07" w:rsidRPr="00F17800" w:rsidRDefault="00865D07" w:rsidP="00865D0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5D07" w:rsidRPr="00F17800" w:rsidRDefault="00865D07" w:rsidP="00865D07">
      <w:pPr>
        <w:jc w:val="center"/>
        <w:rPr>
          <w:color w:val="000000" w:themeColor="text1"/>
        </w:rPr>
      </w:pPr>
    </w:p>
    <w:p w:rsidR="00865D07" w:rsidRPr="00F17800" w:rsidRDefault="00865D07" w:rsidP="0086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7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ДОПОЛНИТЕЛЬНОГО ПРОФЕССИОНАЛЬНОГО ОБУЧЕНИЯ</w:t>
      </w:r>
    </w:p>
    <w:p w:rsidR="00865D07" w:rsidRPr="00F17800" w:rsidRDefault="00865D07" w:rsidP="0086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5D07" w:rsidRPr="00F17800" w:rsidRDefault="00865D07" w:rsidP="00865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«ПОЖАРНО-ТЕХНИЧЕСКИЙ МИНИМУМ ДЛЯ ГАЗОЭЛЕКТРОСВАРЩИКОВ»</w:t>
      </w:r>
    </w:p>
    <w:p w:rsidR="00865D07" w:rsidRPr="00F17800" w:rsidRDefault="00865D07" w:rsidP="00865D07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865D07" w:rsidRPr="00F17800" w:rsidRDefault="00865D07" w:rsidP="00865D07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865D07" w:rsidRPr="00F17800" w:rsidRDefault="00865D07" w:rsidP="00865D07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865D07" w:rsidRPr="00F17800" w:rsidRDefault="00865D07" w:rsidP="00865D07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Срок освоения: </w:t>
      </w:r>
      <w:r w:rsidR="00042E0C"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16</w:t>
      </w: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F17800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865D07" w:rsidRPr="00F17800" w:rsidRDefault="00865D07" w:rsidP="00865D0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865D07" w:rsidRPr="00F17800" w:rsidRDefault="00865D07" w:rsidP="00865D0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865D07" w:rsidRPr="00F17800" w:rsidRDefault="00865D07" w:rsidP="00865D0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865D07" w:rsidRPr="00F17800" w:rsidRDefault="00865D07" w:rsidP="00865D0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865D07" w:rsidRPr="00F17800" w:rsidRDefault="00865D07" w:rsidP="00865D0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865D07" w:rsidRPr="00F17800" w:rsidRDefault="00865D07" w:rsidP="00865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C24445" w:rsidRPr="00F17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F17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</w:p>
    <w:p w:rsidR="00865D07" w:rsidRPr="00F17800" w:rsidRDefault="00865D07" w:rsidP="00865D07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</w:p>
    <w:p w:rsidR="00FE5F73" w:rsidRPr="00F17800" w:rsidRDefault="00FE5F73" w:rsidP="00FE5F73">
      <w:pPr>
        <w:pStyle w:val="1"/>
        <w:rPr>
          <w:rFonts w:ascii="Times New Roman" w:hAnsi="Times New Roman" w:cs="Times New Roman"/>
          <w:color w:val="000000" w:themeColor="text1"/>
        </w:rPr>
      </w:pPr>
      <w:r w:rsidRPr="00F17800">
        <w:rPr>
          <w:rFonts w:ascii="Times New Roman" w:hAnsi="Times New Roman" w:cs="Times New Roman"/>
          <w:color w:val="000000" w:themeColor="text1"/>
        </w:rPr>
        <w:lastRenderedPageBreak/>
        <w:t>Программа дополнительного профессионального обучения</w:t>
      </w:r>
    </w:p>
    <w:p w:rsidR="00FE5F73" w:rsidRPr="00F17800" w:rsidRDefault="00FE5F73" w:rsidP="00FE5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«Пожарно-технический минимум для </w:t>
      </w:r>
      <w:proofErr w:type="spellStart"/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газоэлектросварщиков</w:t>
      </w:r>
      <w:proofErr w:type="spellEnd"/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</w:p>
    <w:p w:rsidR="00FE5F73" w:rsidRPr="00F17800" w:rsidRDefault="00FE5F73" w:rsidP="00FE5F73">
      <w:pPr>
        <w:pStyle w:val="1"/>
        <w:rPr>
          <w:rFonts w:ascii="Times New Roman" w:hAnsi="Times New Roman" w:cs="Times New Roman"/>
          <w:color w:val="000000" w:themeColor="text1"/>
        </w:rPr>
      </w:pPr>
      <w:r w:rsidRPr="00F17800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A5084C" w:rsidRPr="00F17800" w:rsidRDefault="00A5084C" w:rsidP="00FE5F73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Программа дополнительного профессионального обучения по пожарно-техническому минимуму</w:t>
      </w:r>
      <w:r w:rsidR="00042E0C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(далее - программа), разработана в соответствии с требованиями Федерального закона от 29 декабря 2012</w:t>
      </w:r>
      <w:r w:rsidR="00042E0C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г. №273-ФЗ "Об образовании в Российской Федерации" (Собрание законодательства Российской Федерации, 2012, №53 (ч.1), ст.7598; 2013, №19, ст.2326, №23, ст.2878, №27, ст.3462, №30 (ч.1), ст.4036, №48, ст.6165;</w:t>
      </w:r>
      <w:proofErr w:type="gram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2014, №6, ст.562, 566, №19, ст.2289, №22, ст.2769, №23, ст.2930, 2933, №26 (ч.1), ст.3388, №30 (ч.1), ст.4217, 4257, 4263; 2015, №1 (ч.1), ст.42, 53, 72; №14, ст.2008; №18, ст.2625, №27, ст.3951, 3989, №29 (ч.1), ст.4339, 4364, №51 (ч.3), ст.7241;</w:t>
      </w:r>
      <w:proofErr w:type="gram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2016, №1 (ч.1), ст.8, 9, 24, 78, №10, ст.1320, ч.23, ст.3289, 3290, №27 (ч.1), ст.4160, 4219, 4223, №27 (ч.2), ст</w:t>
      </w:r>
      <w:r w:rsidR="00042E0C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.4238, 4239, 4245, 4246, 4292),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приказа </w:t>
      </w:r>
      <w:proofErr w:type="spell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18 апреля 2013</w:t>
      </w:r>
      <w:r w:rsidR="00042E0C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г. №292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</w:t>
      </w:r>
      <w:proofErr w:type="gram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2013г., регистрационный №28395), с изменениями, внесенными приказами </w:t>
      </w:r>
      <w:proofErr w:type="spell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21 августа 2013г. №977 (зарегистрирован Минюстом России 17 сентября 2013г., регистрационный №29969), от 20 января 2015г. №17 (зарегистрирован Минюстом России 3 апреля 2015г., регистрационный №36710) от 26 мая 2015г. №524 (зарегистрирован Минюстом России 17 июня 2015г., регистрационный №37678) и от 27 октября 2015г. №1224 (зарегистрирован Минюстом России 12 ноября 2015г</w:t>
      </w:r>
      <w:proofErr w:type="gram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регистрационный №39682),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</w:t>
      </w:r>
      <w:r w:rsidR="00C24445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24445" w:rsidRPr="00F1780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="00C24445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Целью реализации Программы является  обучение по курсу пожарно-технического минимума, </w:t>
      </w:r>
      <w:proofErr w:type="spellStart"/>
      <w:r w:rsidR="000164B7" w:rsidRPr="00F178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газоэлектросварщиков</w:t>
      </w:r>
      <w:proofErr w:type="spellEnd"/>
      <w:r w:rsidR="000164B7" w:rsidRPr="00F178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164B7" w:rsidRPr="00F178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для</w:t>
      </w:r>
      <w:proofErr w:type="gramEnd"/>
      <w:r w:rsidR="000164B7" w:rsidRPr="00F178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формирование</w:t>
      </w:r>
      <w:proofErr w:type="gram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у них необходимых знаний и навыков для   проведения  организационно-технических мероприятий по обеспечению пожарной безопасности, обеспечение безопасности людей, сохранения материальных ценностей.</w:t>
      </w:r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Обучение проводится по учебно-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тематическому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плану, предусматривающему последовательное совершенствование профессиональных знаний, умений и навыков обучающихся по имеющейся профессии без повышения образовательного уровня,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необходимых для профессиональной деятельности связанной с обеспечением пожарной безопасности.</w:t>
      </w:r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Повторное обучение пров</w:t>
      </w:r>
      <w:r w:rsidR="000164B7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одится не реже одного раза в год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Для получения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Продолжительность обучения, а также перечень разделов</w:t>
      </w:r>
      <w:r w:rsidR="00042E0C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(тем) обучения  устанавливается учебно-тематическим планом.</w:t>
      </w:r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 с работой огнетушителя, пользование пожарным краном, тренировки по эвакуации людей.</w:t>
      </w:r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FE5F73" w:rsidRPr="00F17800" w:rsidRDefault="00FE5F73" w:rsidP="00FE5F7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FE5F73" w:rsidRPr="00F17800" w:rsidRDefault="00FE5F73" w:rsidP="00FE5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II</w:t>
      </w:r>
      <w:r w:rsidRPr="00F178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Учебно-тематический план дополнительного профессионального обучения</w:t>
      </w:r>
    </w:p>
    <w:p w:rsidR="007B4C8A" w:rsidRPr="00F17800" w:rsidRDefault="00FE5F73" w:rsidP="00FE5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7B4C8A"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Пожарно-технический минимум для </w:t>
      </w:r>
      <w:proofErr w:type="spellStart"/>
      <w:r w:rsidR="007B4C8A"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газоэлектросварщиков</w:t>
      </w:r>
      <w:proofErr w:type="spellEnd"/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="007B4C8A"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117"/>
        <w:gridCol w:w="1174"/>
        <w:gridCol w:w="1174"/>
        <w:gridCol w:w="1174"/>
      </w:tblGrid>
      <w:tr w:rsidR="00A5084C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C" w:rsidRPr="00F17800" w:rsidRDefault="00A5084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A5084C" w:rsidRPr="00F17800" w:rsidRDefault="00A5084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C" w:rsidRPr="00F17800" w:rsidRDefault="00A5084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5084C" w:rsidRPr="00F17800" w:rsidRDefault="00A5084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разделов (тем)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4C" w:rsidRPr="00F17800" w:rsidRDefault="00A5084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4C" w:rsidRPr="00F17800" w:rsidRDefault="00A5084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4C" w:rsidRPr="00F17800" w:rsidRDefault="00A5084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B9217C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301" w:history="1">
              <w:r w:rsidR="00FE5F73" w:rsidRPr="00F17800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B9217C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302" w:history="1">
              <w:r w:rsidR="00FE5F73" w:rsidRPr="00F17800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2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B9217C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303" w:history="1">
              <w:r w:rsidR="00FE5F73" w:rsidRPr="00F17800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3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Причины возникновения пожаров, меры предупреждения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FE5F73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B9217C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304" w:history="1">
              <w:r w:rsidR="00FE5F73" w:rsidRPr="00F17800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Особенности пожарной опасности при ведении огневых работ на взрывопожароопасных объектах и установках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B9217C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305" w:history="1">
              <w:r w:rsidR="00FE5F73" w:rsidRPr="00F17800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Газосварочные и электросварочные работы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FE5F73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B9217C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306" w:history="1">
              <w:r w:rsidR="00FE5F73" w:rsidRPr="00F17800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6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Постоянные и временные посты. Порядок оформления разрешения, наряда-допуска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B9217C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307" w:history="1">
              <w:r w:rsidR="00FE5F73" w:rsidRPr="00F17800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7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B9217C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308" w:history="1">
              <w:r w:rsidR="00FE5F73" w:rsidRPr="00F17800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8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Действия при пожарах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B9217C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309" w:history="1">
              <w:r w:rsidR="00FE5F73" w:rsidRPr="00F17800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9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0164B7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Квалификационный экзамен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FE5F73" w:rsidRPr="00F17800" w:rsidTr="00A508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FE5F73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3" w:rsidRPr="00F17800" w:rsidRDefault="000164B7" w:rsidP="007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0164B7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C4074"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73" w:rsidRPr="00F17800" w:rsidRDefault="009C4074" w:rsidP="00FE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7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</w:tbl>
    <w:p w:rsidR="007B4C8A" w:rsidRPr="00F17800" w:rsidRDefault="00A5084C" w:rsidP="00A5084C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III</w:t>
      </w: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Содержание разделов (тем) учебно-тематического плана дополнительного профессионального обучения </w:t>
      </w:r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«Пожарно-технический минимум для </w:t>
      </w:r>
      <w:proofErr w:type="spellStart"/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газоэлектросварщиков</w:t>
      </w:r>
      <w:proofErr w:type="spellEnd"/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sub_3301"/>
      <w:r w:rsidRPr="00F178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1. Основные нормативные документы, регламентирующие требования пожарной безопасности при проведении пожароопасных работ.</w:t>
      </w:r>
    </w:p>
    <w:bookmarkStart w:id="1" w:name="sub_3302"/>
    <w:bookmarkEnd w:id="0"/>
    <w:p w:rsidR="000164B7" w:rsidRPr="00F17800" w:rsidRDefault="004103CD" w:rsidP="002972B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>HYPERLINK "garantF1://10003955.0"</w:instrText>
      </w: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</w:t>
      </w: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N 69-ФЗ "О пожарной безопасности". </w:t>
      </w:r>
      <w:r w:rsidR="000164B7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22.07.2008 №123-ФЗ "Технический регламент о требованиях пожарной безопасности». </w:t>
      </w:r>
      <w:proofErr w:type="gramStart"/>
      <w:r w:rsidR="000164B7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25.04.2012 №390 «О противопожарном режиме» (вместе с «Правилами противопожарного режима в Российской Федерации».</w:t>
      </w:r>
      <w:proofErr w:type="gramEnd"/>
      <w:r w:rsidR="000164B7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2. Виды и порядок проведения пожароопасных работ. Пожарная опасность веществ и материалов.</w:t>
      </w:r>
    </w:p>
    <w:bookmarkEnd w:id="1"/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Газоэлектросварочные</w:t>
      </w:r>
      <w:proofErr w:type="spellEnd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паяльные работы, резка металлов, работа с клеями, мастиками, битумами, полимерами и другими горючими материалами. Порядок их проведения. Пожарная опасность работ и особенности их пожарной опасности.</w:t>
      </w:r>
    </w:p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" w:name="sub_3303"/>
      <w:r w:rsidRPr="00F178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3. Причины возникновения пожаров, меры предупреждения.</w:t>
      </w:r>
    </w:p>
    <w:bookmarkEnd w:id="2"/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причины пожаров при производстве и ведении </w:t>
      </w:r>
      <w:proofErr w:type="spellStart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газоэлектросварочных</w:t>
      </w:r>
      <w:proofErr w:type="spellEnd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работ: нарушение правил ведения работ, неисправность </w:t>
      </w:r>
      <w:proofErr w:type="spellStart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газоэлектросварочного</w:t>
      </w:r>
      <w:proofErr w:type="spellEnd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оборудования, отсутствие </w:t>
      </w:r>
      <w:proofErr w:type="gramStart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местами ведения работ по их завершении. Меры по предупреждению пожаров в процессе подготовки, ведения, </w:t>
      </w:r>
      <w:proofErr w:type="gramStart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местами проведения огневых работ, а также по их окончании.</w:t>
      </w:r>
    </w:p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3" w:name="sub_3304"/>
      <w:r w:rsidRPr="00F178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4. Особенности пожарной опасности при ведении огневых работ на взрывопожароопасных объектах и установках.</w:t>
      </w:r>
    </w:p>
    <w:bookmarkEnd w:id="3"/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Проведение огневых работ на установках, находящихся под давлением, при проведении работ на емкостях из-под ЛВЖ, ГЖ и </w:t>
      </w:r>
      <w:proofErr w:type="gramStart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ГГ</w:t>
      </w:r>
      <w:proofErr w:type="gramEnd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предварительной их подготовки. Порядок ведения огневых работ во взрывоопасных и взрывопожароопасных подразделениях.</w:t>
      </w:r>
    </w:p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4" w:name="sub_3305"/>
      <w:r w:rsidRPr="00F178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5. Газосварочные и электросварочные работы.</w:t>
      </w:r>
    </w:p>
    <w:bookmarkEnd w:id="4"/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транспортировании,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</w:t>
      </w: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источников. Порядок испытания и проверки </w:t>
      </w:r>
      <w:proofErr w:type="spellStart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газоподводящих</w:t>
      </w:r>
      <w:proofErr w:type="spellEnd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5" w:name="sub_3306"/>
      <w:r w:rsidRPr="00F178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6. Постоянные и временные посты. Порядок оформления разрешения, наряда-допуска.</w:t>
      </w:r>
    </w:p>
    <w:bookmarkEnd w:id="5"/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Организация постоянных и временных постов ведения огневых работ, основные требования. Порядок оформления разрешения, наряда-допуска на ведение огневых работ. Согласование со службами надзора. Порядок допуска к выполнению работ </w:t>
      </w:r>
      <w:proofErr w:type="spellStart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газоэлектросварщиков</w:t>
      </w:r>
      <w:proofErr w:type="spellEnd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Обязанности </w:t>
      </w:r>
      <w:proofErr w:type="spellStart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газоэлектросварщиков</w:t>
      </w:r>
      <w:proofErr w:type="spellEnd"/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обеспечении мер пожарной безопасности в процессе подготовки, ведения и завершения работ.</w:t>
      </w:r>
    </w:p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6" w:name="sub_3307"/>
      <w:r w:rsidRPr="00F178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7. Противопожарное оборудование и инвентарь, порядок использования при пожарах.</w:t>
      </w:r>
    </w:p>
    <w:bookmarkEnd w:id="6"/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7" w:name="sub_3308"/>
      <w:r w:rsidRPr="00F178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8. Действия при пожарах.</w:t>
      </w:r>
    </w:p>
    <w:bookmarkEnd w:id="7"/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сообщения о пожаре. Приемы тушения пожара до прибытия пожарных подразделений. Меры по предотвращению распространения пожара. Пути и порядок эвакуации, план эвакуации. Действия работников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 Пожарная безопасность в жилом секторе. Действия при пожаре в жилом секторе.</w:t>
      </w:r>
    </w:p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8" w:name="sub_3309"/>
      <w:r w:rsidRPr="00F178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9. Практические занятия.</w:t>
      </w:r>
    </w:p>
    <w:bookmarkEnd w:id="8"/>
    <w:p w:rsidR="007B4C8A" w:rsidRPr="00F17800" w:rsidRDefault="007B4C8A" w:rsidP="007B4C8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0164B7" w:rsidRPr="00F17800" w:rsidRDefault="000164B7" w:rsidP="000164B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178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Итоговая аттестация.</w:t>
      </w:r>
    </w:p>
    <w:p w:rsidR="007B4C8A" w:rsidRPr="00F17800" w:rsidRDefault="000164B7" w:rsidP="000164B7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Квалификационный экзамен – тестирование</w:t>
      </w:r>
      <w:r w:rsidR="007B4C8A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164B7" w:rsidRPr="00F17800" w:rsidRDefault="000164B7" w:rsidP="000164B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0164B7" w:rsidRPr="00F17800" w:rsidRDefault="000164B7" w:rsidP="000164B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0164B7" w:rsidRPr="00F17800" w:rsidRDefault="000164B7" w:rsidP="000164B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0164B7" w:rsidRPr="00F17800" w:rsidRDefault="000164B7" w:rsidP="000164B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0164B7" w:rsidRPr="00F17800" w:rsidRDefault="000164B7" w:rsidP="000164B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0164B7" w:rsidRPr="00F17800" w:rsidRDefault="000164B7" w:rsidP="000164B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0164B7" w:rsidRPr="00F17800" w:rsidRDefault="000164B7" w:rsidP="000164B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val="en-US" w:eastAsia="ru-RU"/>
        </w:rPr>
        <w:t>I</w:t>
      </w:r>
      <w:r w:rsidRPr="00F17800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V. Планируемые результаты освоения Программы</w:t>
      </w:r>
    </w:p>
    <w:p w:rsidR="000164B7" w:rsidRPr="00F17800" w:rsidRDefault="000164B7" w:rsidP="000164B7">
      <w:pPr>
        <w:suppressAutoHyphens/>
        <w:autoSpaceDN w:val="0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0164B7" w:rsidRPr="00F17800" w:rsidRDefault="000164B7" w:rsidP="002972BA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</w:t>
      </w: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4.1</w:t>
      </w:r>
      <w:proofErr w:type="gramStart"/>
      <w:r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В</w:t>
      </w:r>
      <w:proofErr w:type="gramEnd"/>
      <w:r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результате освоения Программы обучающийся должен знать:</w:t>
      </w:r>
    </w:p>
    <w:p w:rsidR="000164B7" w:rsidRPr="00F17800" w:rsidRDefault="000164B7" w:rsidP="002972BA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 Обучающийся должен знать:</w:t>
      </w:r>
    </w:p>
    <w:p w:rsidR="000164B7" w:rsidRPr="00F17800" w:rsidRDefault="00200AF3" w:rsidP="002972B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основные законодательные и иные нормативные технические документы по пожарной безопасности в учреждениях; </w:t>
      </w:r>
    </w:p>
    <w:p w:rsidR="000164B7" w:rsidRPr="00F17800" w:rsidRDefault="00200AF3" w:rsidP="002972B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основные задачи, решаемые пожарной профилактикой в организации;</w:t>
      </w:r>
    </w:p>
    <w:p w:rsidR="000164B7" w:rsidRPr="00F17800" w:rsidRDefault="00200AF3" w:rsidP="002972B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и порядок проведения пожароопасных работ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0164B7" w:rsidRPr="00F17800" w:rsidRDefault="00200AF3" w:rsidP="00297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Пожарная опасность веществ и </w:t>
      </w: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материалов;</w:t>
      </w:r>
    </w:p>
    <w:p w:rsidR="000164B7" w:rsidRPr="00F17800" w:rsidRDefault="00200AF3" w:rsidP="002972B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Причины возникновения пожаров, меры предупреждения</w:t>
      </w: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164B7" w:rsidRPr="00F17800" w:rsidRDefault="00200AF3" w:rsidP="00297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Противопожарное оборудование и инвентарь</w:t>
      </w:r>
      <w:r w:rsidR="00CF6BB2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</w:t>
      </w: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рядок использования при пожарах;</w:t>
      </w:r>
    </w:p>
    <w:p w:rsidR="000164B7" w:rsidRPr="00F17800" w:rsidRDefault="00200AF3" w:rsidP="002972B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классификацию огнетушителей, область применения, назначение, правила применения, местонахождение;</w:t>
      </w:r>
    </w:p>
    <w:p w:rsidR="000164B7" w:rsidRPr="00F17800" w:rsidRDefault="00200AF3" w:rsidP="002972B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назначение и устройство внутреннего противопожарного водопровода, пожарных кранов, их местонахождение;  </w:t>
      </w:r>
    </w:p>
    <w:p w:rsidR="000164B7" w:rsidRPr="00F17800" w:rsidRDefault="00200AF3" w:rsidP="002972B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сообщения о пожаре и вызова пожарной охраны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2972BA" w:rsidRPr="00F17800" w:rsidRDefault="00200AF3" w:rsidP="002972B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пожарного оборудования и инвентаря, назначение, устройство и месторасположение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;  </w:t>
      </w:r>
    </w:p>
    <w:p w:rsidR="000164B7" w:rsidRPr="00F17800" w:rsidRDefault="00200AF3" w:rsidP="002972BA">
      <w:pPr>
        <w:widowControl w:val="0"/>
        <w:suppressAutoHyphens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по предотвращению распространения пожара.</w:t>
      </w:r>
    </w:p>
    <w:p w:rsidR="000164B7" w:rsidRPr="00F17800" w:rsidRDefault="000164B7" w:rsidP="002972BA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Обучающийся должен уметь:</w:t>
      </w:r>
    </w:p>
    <w:p w:rsidR="000164B7" w:rsidRPr="00F17800" w:rsidRDefault="00200AF3" w:rsidP="002972BA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CF6BB2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сообщения о пожаре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0164B7" w:rsidRPr="00F17800" w:rsidRDefault="00200AF3" w:rsidP="002972BA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Pr="00F17800">
        <w:rPr>
          <w:color w:val="000000" w:themeColor="text1"/>
        </w:rPr>
        <w:t xml:space="preserve"> 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вызывать пожарную охрану и 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дейст</w:t>
      </w:r>
      <w:r w:rsidR="00CF6BB2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</w:t>
      </w:r>
      <w:r w:rsidR="000164B7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вать после их прибытия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CF6BB2" w:rsidRPr="00F17800" w:rsidRDefault="00200AF3" w:rsidP="002972BA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CF6BB2" w:rsidRPr="00F17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предотвращать распространение пожара;</w:t>
      </w:r>
    </w:p>
    <w:p w:rsidR="000164B7" w:rsidRPr="00F17800" w:rsidRDefault="00200AF3" w:rsidP="002972BA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Pr="00F17800">
        <w:rPr>
          <w:color w:val="000000" w:themeColor="text1"/>
        </w:rPr>
        <w:t xml:space="preserve"> </w:t>
      </w:r>
      <w:r w:rsidR="000164B7" w:rsidRPr="00F1780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пользоваться средствами пожаротушения.</w:t>
      </w:r>
    </w:p>
    <w:p w:rsidR="005C06A2" w:rsidRPr="00F17800" w:rsidRDefault="005C06A2" w:rsidP="000164B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5C06A2" w:rsidRPr="00F17800" w:rsidRDefault="005C06A2" w:rsidP="005C06A2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V. Условия реализации Программы</w:t>
      </w:r>
    </w:p>
    <w:p w:rsidR="005C06A2" w:rsidRPr="00F17800" w:rsidRDefault="005C06A2" w:rsidP="005C06A2">
      <w:pPr>
        <w:pStyle w:val="Textbody"/>
        <w:rPr>
          <w:rFonts w:ascii="Times New Roman" w:hAnsi="Times New Roman" w:cs="Times New Roman"/>
          <w:color w:val="000000" w:themeColor="text1"/>
          <w:lang w:eastAsia="ru-RU"/>
        </w:rPr>
      </w:pPr>
    </w:p>
    <w:p w:rsidR="005C06A2" w:rsidRPr="00F17800" w:rsidRDefault="005C06A2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5.1. Условия реализации Программы должны обеспечивать:</w:t>
      </w:r>
    </w:p>
    <w:p w:rsidR="005C06A2" w:rsidRPr="00F17800" w:rsidRDefault="005C06A2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достижение планируемых результатов освоения Программы в полном объеме;         - соответствие применяемых форм, средств и методов обучения.</w:t>
      </w:r>
    </w:p>
    <w:p w:rsidR="005C06A2" w:rsidRPr="00F17800" w:rsidRDefault="005C06A2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5C06A2" w:rsidRPr="00F17800" w:rsidRDefault="005C06A2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5C06A2" w:rsidRPr="00F17800" w:rsidRDefault="005C06A2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пожарной безопасности</w:t>
      </w:r>
      <w:r w:rsidR="00B9217C" w:rsidRPr="00B9217C">
        <w:t xml:space="preserve"> </w:t>
      </w:r>
      <w:r w:rsidR="00B9217C" w:rsidRPr="00B9217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или пройти профессиональную переподготовку «Специалист по противопожарной профилактике».</w:t>
      </w:r>
      <w:bookmarkStart w:id="9" w:name="_GoBack"/>
      <w:bookmarkEnd w:id="9"/>
      <w:proofErr w:type="gramEnd"/>
    </w:p>
    <w:p w:rsidR="005C06A2" w:rsidRPr="00F17800" w:rsidRDefault="005C06A2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5.3. Информационно-методические условия реализации Программы включают:</w:t>
      </w:r>
    </w:p>
    <w:p w:rsidR="005C06A2" w:rsidRPr="00F17800" w:rsidRDefault="005C06A2" w:rsidP="005C06A2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5C06A2" w:rsidRPr="00F17800" w:rsidRDefault="005C06A2" w:rsidP="005C06A2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5C06A2" w:rsidRPr="00F17800" w:rsidRDefault="005C06A2" w:rsidP="005C06A2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5C06A2" w:rsidRPr="00F17800" w:rsidRDefault="005C06A2" w:rsidP="005C06A2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5C06A2" w:rsidRPr="00F17800" w:rsidRDefault="005C06A2" w:rsidP="005C06A2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5C06A2" w:rsidRPr="00F17800" w:rsidRDefault="005C06A2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2231"/>
      </w:tblGrid>
      <w:tr w:rsidR="005C06A2" w:rsidRPr="00F17800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5C06A2" w:rsidRPr="00F17800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разделам</w:t>
            </w:r>
            <w:proofErr w:type="gramEnd"/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6A2" w:rsidRPr="00F17800" w:rsidTr="00012F64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A2" w:rsidRPr="00F17800" w:rsidRDefault="005C06A2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C06A2" w:rsidRPr="00F17800" w:rsidRDefault="00200AF3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5.5. Документ о квалификации</w:t>
      </w:r>
      <w:r w:rsidR="005C06A2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выдаваемый организацией, осуществляющей образовательную деятельность, обучающимся при успешной сдаче </w:t>
      </w:r>
      <w:r w:rsidR="005C06A2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5C06A2" w:rsidRPr="00F17800" w:rsidRDefault="005C06A2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5C06A2" w:rsidRPr="00F17800" w:rsidRDefault="005C06A2" w:rsidP="005C06A2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5C06A2" w:rsidRPr="00F17800" w:rsidRDefault="005C06A2" w:rsidP="005C06A2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Fonts w:ascii="Times New Roman" w:hAnsi="Times New Roman" w:cs="Times New Roman"/>
          <w:color w:val="000000" w:themeColor="text1"/>
          <w:sz w:val="26"/>
          <w:szCs w:val="26"/>
        </w:rPr>
        <w:t>VI. Система оценки результатов освоения Программы</w:t>
      </w:r>
    </w:p>
    <w:p w:rsidR="005C06A2" w:rsidRPr="00F17800" w:rsidRDefault="005C06A2" w:rsidP="005C06A2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C06A2" w:rsidRPr="00F17800" w:rsidRDefault="005C06A2" w:rsidP="005C06A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5C06A2" w:rsidRPr="00F17800" w:rsidRDefault="005C06A2" w:rsidP="005C06A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5C06A2" w:rsidRPr="00F17800" w:rsidRDefault="005C06A2" w:rsidP="005C06A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</w:p>
    <w:p w:rsidR="005C06A2" w:rsidRPr="00F17800" w:rsidRDefault="005C06A2" w:rsidP="005C06A2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Pr="00F178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17800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5C06A2" w:rsidRPr="00F17800" w:rsidRDefault="005C06A2" w:rsidP="005C06A2">
      <w:pPr>
        <w:pStyle w:val="Standard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 Постановление Правительства РФ от 25.04.2012 №390 «О противопожарном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режиме» (вместе с «Правилами противопожарного режима в Российской Федерации»)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 Постановление Правительства РФ от 12.04.2012 № 290 «О федеральном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 (вместе с "Положением о федеральном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надзоре»)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 Краткий курс пожарно-технического минимума» Учебно-справочное пособие /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</w:t>
      </w:r>
      <w:proofErr w:type="spell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С.В. — 7-е изд., </w:t>
      </w:r>
      <w:proofErr w:type="spell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перераб</w:t>
      </w:r>
      <w:proofErr w:type="spell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— М.: </w:t>
      </w:r>
      <w:proofErr w:type="spell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ПожКнига</w:t>
      </w:r>
      <w:proofErr w:type="spell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2013. — 256 c., ил. — Пожарная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8. Гражданский кодекс Российской Федерации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9. Градостроительный кодекс Российской Федерации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10. Трудовой кодекс Российской Федерации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11. Кодекс Российской Федерации об административных правонарушениях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12. Уголовный кодекс Российской Федерации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13. Федеральный закон от 27.12.2002 №184-ФЗ «О техническом регулировании»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14. Постановление Правительства РФ от 07.04.2009 №304 «Об утверждении Правил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оценки соответствия объектов защиты (продукции) установленным требованиям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 путем независимой оценки пожарного риска»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15. Постановление Правительства РФ от 31.03.2009 №272 «О порядке проведения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16. Распоряжение Правительства РФ от 10.03.2009 №304-р «Об утверждении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17. СП 1.13130.2009. «Свод правил. Системы противопожарной защиты.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18. СП 2.13130.2009. «Свод правил. Системы противопожарной защиты.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19. СП 3.13130.2009. «Свод правил. Системы противопожарной защиты. Система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20. Приказ МЧС России от 24.04.2013 №288 «Об утверждении свода правил СП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4.13130 «Системы противопожарной защиты. Ограничение распространения пожара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на объектах защиты.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 объемно-планировочным и конструктивным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решениям» (вместе с «СП 4.13130.2013.</w:t>
      </w:r>
      <w:proofErr w:type="gram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Системы противопожарной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защиты. Ограничение распространения пожара на объектах защиты.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объемно-планировочным и конструктивным решениям»)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21. СП 5.13130.2009. «Свод правил. Системы противопожарной защиты. Установки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22. Приказ МЧС России от 21.02.2013 №115 «Об утверждении свода правил СП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23. Приказ МЧС России от 21.02.2013 №116 «Об утверждении свода правил СП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24. СП 8.13130.2009. «Свод правил. Системы противопожарной защиты. Источники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25. СП 9.13130.2009. «Свод правил. Техника пожарная. Огнетушители. Требования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эксплуатации»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26. СП 10.13130.2009. «Свод правил. Системы противопожарной защиты.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27. СП 11.13130.2009. Свод правил. Места дислокации подразделений пожарной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28. СП 12.13130.2009. Свод правил. Определение категорий помещений, зданий и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29. СП 13.13130.2009. Свод правил. Атомные станции. Требования пожарной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30. Приказ МЧС России от 24.02.2009 №91 «Об утверждении формы и порядка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регистрации декларации пожарной безопасности» (Зарегистрировано в Минюсте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России 23.03.2009 № 13577)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31. Приказ МЧС РФ от 12.12.2007 №645 «Об утверждении Норм пожарной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 «Обучение мерам пожарной безопасности работников организаций»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РФ 21.01.2008 № 10938)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32. Приказ МЧС РФ от 02.05.2006 №270 «Об утверждении Инструкции о порядке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последствий стихийных бедствий» (Зарегистрировано в Минюсте РФ 02.06.2006 №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33. Приказ </w:t>
      </w:r>
      <w:proofErr w:type="spell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Росстандарта</w:t>
      </w:r>
      <w:proofErr w:type="spell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от 16.04.2014 №474 «Об утверждении перечня документов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</w:p>
    <w:p w:rsidR="002972BA" w:rsidRPr="00F17800" w:rsidRDefault="005C06A2" w:rsidP="002972BA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34. </w:t>
      </w:r>
      <w:proofErr w:type="gramStart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28.11.2011 №710 «Об утверждении Административного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государственной услуги по согласованию специальных технических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</w:t>
      </w:r>
      <w:proofErr w:type="gramEnd"/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содержащих комплекс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2972BA"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5C06A2" w:rsidRPr="00F17800" w:rsidRDefault="00C24445" w:rsidP="002972B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00">
        <w:rPr>
          <w:rFonts w:ascii="Times New Roman" w:hAnsi="Times New Roman" w:cs="Times New Roman"/>
          <w:color w:val="000000" w:themeColor="text1"/>
          <w:sz w:val="26"/>
          <w:szCs w:val="26"/>
        </w:rPr>
        <w:t>35. Постановление Правительства РФ от 16 сентября 2020 г. № 1479 "Об утверждении Правил противопожарного режима в Российской Федерации"</w:t>
      </w:r>
      <w:r w:rsidRPr="00F17800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54B5" w:rsidRPr="00F17800" w:rsidRDefault="003E54B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E54B5" w:rsidRPr="00F17800" w:rsidSect="00A5084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113"/>
    <w:rsid w:val="000164B7"/>
    <w:rsid w:val="00042E0C"/>
    <w:rsid w:val="00200AF3"/>
    <w:rsid w:val="002972BA"/>
    <w:rsid w:val="00307CD6"/>
    <w:rsid w:val="00346113"/>
    <w:rsid w:val="003C7080"/>
    <w:rsid w:val="003E54B5"/>
    <w:rsid w:val="004103CD"/>
    <w:rsid w:val="00530AE2"/>
    <w:rsid w:val="005C06A2"/>
    <w:rsid w:val="006065D9"/>
    <w:rsid w:val="007B4C8A"/>
    <w:rsid w:val="00865D07"/>
    <w:rsid w:val="009C1639"/>
    <w:rsid w:val="009C4074"/>
    <w:rsid w:val="00A5084C"/>
    <w:rsid w:val="00B9217C"/>
    <w:rsid w:val="00B976DD"/>
    <w:rsid w:val="00C24445"/>
    <w:rsid w:val="00C40CFC"/>
    <w:rsid w:val="00C453B7"/>
    <w:rsid w:val="00CF6BB2"/>
    <w:rsid w:val="00E10D8D"/>
    <w:rsid w:val="00F17800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B7"/>
  </w:style>
  <w:style w:type="paragraph" w:styleId="1">
    <w:name w:val="heading 1"/>
    <w:basedOn w:val="Standard"/>
    <w:next w:val="a"/>
    <w:link w:val="10"/>
    <w:rsid w:val="00FE5F73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73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FE5F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FE5F73"/>
    <w:rPr>
      <w:sz w:val="20"/>
    </w:rPr>
  </w:style>
  <w:style w:type="paragraph" w:customStyle="1" w:styleId="Textbody">
    <w:name w:val="Text body"/>
    <w:basedOn w:val="Standard"/>
    <w:rsid w:val="005C06A2"/>
    <w:pPr>
      <w:spacing w:after="120"/>
    </w:pPr>
  </w:style>
  <w:style w:type="paragraph" w:customStyle="1" w:styleId="a4">
    <w:name w:val="Нормальный (таблица)"/>
    <w:basedOn w:val="Standard"/>
    <w:rsid w:val="005C06A2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5C06A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F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FE5F73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73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FE5F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FE5F73"/>
    <w:rPr>
      <w:sz w:val="20"/>
    </w:rPr>
  </w:style>
  <w:style w:type="paragraph" w:customStyle="1" w:styleId="Textbody">
    <w:name w:val="Text body"/>
    <w:basedOn w:val="Standard"/>
    <w:rsid w:val="005C06A2"/>
    <w:pPr>
      <w:spacing w:after="120"/>
    </w:pPr>
  </w:style>
  <w:style w:type="paragraph" w:customStyle="1" w:styleId="a4">
    <w:name w:val="Нормальный (таблица)"/>
    <w:basedOn w:val="Standard"/>
    <w:rsid w:val="005C06A2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5C06A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F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17</cp:revision>
  <cp:lastPrinted>2018-01-21T19:20:00Z</cp:lastPrinted>
  <dcterms:created xsi:type="dcterms:W3CDTF">2018-01-18T14:47:00Z</dcterms:created>
  <dcterms:modified xsi:type="dcterms:W3CDTF">2021-08-17T12:23:00Z</dcterms:modified>
</cp:coreProperties>
</file>